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bookmarkStart w:id="2" w:name="_GoBack"/>
      <w:bookmarkStart w:id="0" w:name="OLE_LINK1"/>
      <w:bookmarkStart w:id="1" w:name="OLE_LINK2"/>
      <w:r>
        <w:rPr>
          <w:rFonts w:hint="eastAsia"/>
          <w:b/>
          <w:bCs/>
          <w:sz w:val="28"/>
          <w:szCs w:val="36"/>
          <w:lang w:val="en-US" w:eastAsia="zh-CN"/>
        </w:rPr>
        <w:t>JA-180A无线室外警号</w:t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1287780" cy="1877695"/>
            <wp:effectExtent l="0" t="0" r="7620" b="8255"/>
            <wp:docPr id="129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877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JA-180A无线室外警号是捷豹JABLOTRON100系统的可选配件之一，用于需要警报声音较大的场所，此警号采用锂电池组供电，寿命可达三年。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电源：锂电池组6V,11Ah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电池寿命：约3年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通讯距离：300米开阔区域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声压等级：112dB/m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最长响铃时间：3min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最长闪灯时间：30分钟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防护等级：IP34D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工作环境：-25至60°C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尺寸：230*158*75mm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重量：850g</w:t>
      </w:r>
      <w:bookmarkEnd w:id="1"/>
    </w:p>
    <w:bookmarkEnd w:id="2"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4274F"/>
    <w:rsid w:val="100D6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2018-05-23T05:53:43Z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