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36"/>
          <w:lang w:val="en-US" w:eastAsia="zh-CN"/>
        </w:rPr>
      </w:pPr>
      <w:bookmarkStart w:id="1" w:name="_GoBack"/>
      <w:bookmarkStart w:id="0" w:name="OLE_LINK1"/>
      <w:r>
        <w:rPr>
          <w:rFonts w:hint="eastAsia"/>
          <w:b/>
          <w:bCs/>
          <w:sz w:val="28"/>
          <w:szCs w:val="36"/>
          <w:lang w:val="en-US" w:eastAsia="zh-CN"/>
        </w:rPr>
        <w:t>JA-188P室外无线探测器</w:t>
      </w:r>
    </w:p>
    <w:p>
      <w:r>
        <w:drawing>
          <wp:inline distT="0" distB="0" distL="114300" distR="114300">
            <wp:extent cx="1282065" cy="1317625"/>
            <wp:effectExtent l="0" t="0" r="13335" b="15875"/>
            <wp:docPr id="57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82065" cy="1317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该探测器是JABLOTRON100系统的可选配件之一，设计用于室外环境，探测人体入侵；此探测器采用双PIR传感器设计，需同时触发两个探测区域才能触发警报，并且此探测器加入了了环境识别电路，最大程度降低了误报风险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技术参数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电源：3节LS14500（AA 3.6V 2Ah）锂电池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电池寿命：约3年（120s节电模式）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通讯范围：300米空旷区域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探测范围：12米85°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安装高度：2.5-3米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探测速度：1.3-1.5ms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节电模式：5s或者120s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防护等级：IP55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工作环境：-20至60°C；95%</w:t>
      </w:r>
      <w:bookmarkEnd w:id="0"/>
    </w:p>
    <w:bookmarkEnd w:id="1"/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4057A"/>
    <w:rsid w:val="54781EF6"/>
    <w:rsid w:val="640A69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澳星-阮</cp:lastModifiedBy>
  <dcterms:modified xsi:type="dcterms:W3CDTF">2018-05-23T03:04:48Z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