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JA-186P双区红外探测器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2094865</wp:posOffset>
            </wp:positionH>
            <wp:positionV relativeFrom="page">
              <wp:posOffset>5307330</wp:posOffset>
            </wp:positionV>
            <wp:extent cx="3007360" cy="1337310"/>
            <wp:effectExtent l="0" t="0" r="2540" b="15240"/>
            <wp:wrapNone/>
            <wp:docPr id="23" name="图片 23" descr="JA-86P_c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JA-86P_ch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47700" cy="1701800"/>
            <wp:effectExtent l="0" t="0" r="0" b="12700"/>
            <wp:docPr id="21" name="图片 21" descr="JA-86P_3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JA-86P_3D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0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探测器是JABLOTRON100系统的可选配件之一，设计用于恶劣的室内环境，探测人体入侵；此探测器采用双PIR传感器设计，需同时触发两个探测区域才能触发警报，并且此探测器加入了了环境识别电路，最大程度降低了误报风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技术参数及特点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电源：</w:t>
      </w:r>
      <w:r>
        <w:rPr>
          <w:rFonts w:hint="eastAsia"/>
          <w:lang w:val="en-US" w:eastAsia="zh-CN"/>
        </w:rPr>
        <w:t>1节LS14500，约3年寿命</w:t>
      </w:r>
      <w:bookmarkStart w:id="0" w:name="_GoBack"/>
      <w:bookmarkEnd w:id="0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双PIR传感器，双探测区域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探测范围12M*12M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防宠物 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极端环境 (如地下室，防老鼠, 昆虫…)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5 或1分钟省电模式可选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通讯距离空旷300米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延时/ 即时可选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灵敏度高/ 低可调 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电池寿命3年</w:t>
      </w:r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条件: PIR1 + PIR2 = 报警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F1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